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Arial" w:hAnsi="Arial" w:cs="Arial"/>
        </w:rPr>
      </w:pPr>
      <w:r>
        <w:rPr>
          <w:rFonts w:cs="Arial" w:ascii="Arial" w:hAnsi="Arial"/>
        </w:rPr>
        <w:t>Absender:</w:t>
        <w:tab/>
        <w:tab/>
        <w:tab/>
        <w:tab/>
        <w:tab/>
        <w:tab/>
        <w:tab/>
        <w:t>Az.: ............................................        </w:t>
        <w:br/>
        <w:br/>
        <w:t>...................................................             </w:t>
        <w:tab/>
        <w:tab/>
        <w:tab/>
        <w:t>Personalnummer: ……………………</w:t>
      </w:r>
    </w:p>
    <w:p>
      <w:pPr>
        <w:pStyle w:val="Textkrper"/>
        <w:spacing w:lineRule="auto" w:line="360"/>
        <w:rPr>
          <w:rFonts w:ascii="Arial" w:hAnsi="Arial" w:cs="Arial"/>
        </w:rPr>
      </w:pPr>
      <w:r>
        <w:rPr>
          <w:rFonts w:cs="Arial" w:ascii="Arial" w:hAnsi="Arial"/>
        </w:rPr>
        <w:t>...................................................</w:t>
      </w:r>
    </w:p>
    <w:p>
      <w:pPr>
        <w:pStyle w:val="Textkrper"/>
        <w:spacing w:lineRule="auto" w:line="360"/>
        <w:rPr>
          <w:rFonts w:ascii="Arial" w:hAnsi="Arial" w:cs="Arial"/>
        </w:rPr>
      </w:pPr>
      <w:r>
        <w:rPr>
          <w:rFonts w:cs="Arial" w:ascii="Arial" w:hAnsi="Arial"/>
        </w:rPr>
        <w:t>...................................................</w:t>
      </w:r>
    </w:p>
    <w:p>
      <w:pPr>
        <w:pStyle w:val="Textkrper"/>
        <w:spacing w:lineRule="auto" w:line="360"/>
        <w:rPr>
          <w:rFonts w:ascii="Arial" w:hAnsi="Arial" w:cs="Arial"/>
        </w:rPr>
      </w:pPr>
      <w:r>
        <w:rPr>
          <w:rFonts w:cs="Arial" w:ascii="Arial" w:hAnsi="Arial"/>
        </w:rPr>
        <w:t> </w:t>
      </w:r>
    </w:p>
    <w:p>
      <w:pPr>
        <w:pStyle w:val="Textkrper"/>
        <w:spacing w:lineRule="auto" w:line="360"/>
        <w:rPr>
          <w:rFonts w:ascii="Arial" w:hAnsi="Arial" w:cs="Arial"/>
        </w:rPr>
      </w:pPr>
      <w:r>
        <w:rPr>
          <w:rFonts w:cs="Arial" w:ascii="Arial" w:hAnsi="Arial"/>
        </w:rPr>
        <w:t>Niedersächsisches Landesamt für Bezüge und Versorgung</w:t>
      </w:r>
    </w:p>
    <w:p>
      <w:pPr>
        <w:pStyle w:val="Textkrper"/>
        <w:spacing w:lineRule="auto" w:line="360"/>
        <w:rPr>
          <w:rFonts w:ascii="Arial" w:hAnsi="Arial" w:cs="Arial"/>
        </w:rPr>
      </w:pPr>
      <w:r>
        <w:rPr>
          <w:rFonts w:cs="Arial" w:ascii="Arial" w:hAnsi="Arial"/>
        </w:rPr>
        <w:t>.........................................</w:t>
      </w:r>
    </w:p>
    <w:p>
      <w:pPr>
        <w:pStyle w:val="Textkrper"/>
        <w:spacing w:lineRule="auto" w:line="360"/>
        <w:rPr>
          <w:rFonts w:ascii="Arial" w:hAnsi="Arial" w:cs="Arial"/>
        </w:rPr>
      </w:pPr>
      <w:r>
        <w:rPr>
          <w:rFonts w:cs="Arial" w:ascii="Arial" w:hAnsi="Arial"/>
        </w:rPr>
        <w:t>.........................................</w:t>
      </w:r>
    </w:p>
    <w:p>
      <w:pPr>
        <w:pStyle w:val="Textkrper"/>
        <w:spacing w:lineRule="auto" w:line="360"/>
        <w:rPr>
          <w:rFonts w:ascii="Arial" w:hAnsi="Arial" w:cs="Arial"/>
        </w:rPr>
      </w:pPr>
      <w:r>
        <w:rPr>
          <w:rFonts w:cs="Arial" w:ascii="Arial" w:hAnsi="Arial"/>
        </w:rPr>
        <w:t> </w:t>
      </w:r>
    </w:p>
    <w:p>
      <w:pPr>
        <w:pStyle w:val="Normal"/>
        <w:rPr>
          <w:rFonts w:ascii="Arial" w:hAnsi="Arial" w:cs="Arial"/>
          <w:i/>
          <w:i/>
        </w:rPr>
      </w:pPr>
      <w:r>
        <w:rPr>
          <w:rFonts w:cs="Arial" w:ascii="Arial" w:hAnsi="Arial"/>
          <w:i/>
        </w:rPr>
        <w:tab/>
        <w:tab/>
        <w:tab/>
        <w:tab/>
        <w:tab/>
        <w:tab/>
        <w:tab/>
        <w:tab/>
        <w:t xml:space="preserve">             </w:t>
        <w:tab/>
        <w:tab/>
        <w:t>Datum  ___.___ 2026</w:t>
      </w:r>
    </w:p>
    <w:p>
      <w:pPr>
        <w:pStyle w:val="Textkrper"/>
        <w:spacing w:lineRule="auto" w:line="360"/>
        <w:rPr>
          <w:rFonts w:ascii="Arial" w:hAnsi="Arial"/>
          <w:sz w:val="24"/>
          <w:szCs w:val="24"/>
        </w:rPr>
      </w:pPr>
      <w:r>
        <w:rPr>
          <w:rFonts w:ascii="Arial" w:hAnsi="Arial"/>
          <w:sz w:val="24"/>
          <w:szCs w:val="24"/>
        </w:rPr>
      </w:r>
    </w:p>
    <w:p>
      <w:pPr>
        <w:pStyle w:val="Normal"/>
        <w:spacing w:lineRule="auto" w:line="360"/>
        <w:rPr>
          <w:rFonts w:ascii="Arial" w:hAnsi="Arial" w:eastAsia="TheSansOffice-Bold" w:cs="TheSansOffice-Bold"/>
          <w:b/>
          <w:b/>
          <w:bCs/>
          <w:sz w:val="24"/>
          <w:szCs w:val="24"/>
        </w:rPr>
      </w:pPr>
      <w:r>
        <w:rPr>
          <w:rFonts w:ascii="Arial" w:hAnsi="Arial"/>
          <w:b/>
          <w:sz w:val="24"/>
          <w:szCs w:val="24"/>
        </w:rPr>
        <w:t xml:space="preserve">Antrag auf Anpassung des Familienzuschlages ab dem dritten Kind für das Jahr 2026 und </w:t>
      </w:r>
      <w:r>
        <w:rPr>
          <w:rFonts w:eastAsia="TheSansOffice-Bold" w:cs="TheSansOffice-Bold" w:ascii="Arial" w:hAnsi="Arial"/>
          <w:b/>
          <w:bCs/>
          <w:sz w:val="24"/>
          <w:szCs w:val="24"/>
        </w:rPr>
        <w:t>folgende Jahre</w:t>
      </w:r>
    </w:p>
    <w:p>
      <w:pPr>
        <w:pStyle w:val="Normal"/>
        <w:spacing w:lineRule="auto" w:line="360"/>
        <w:rPr>
          <w:rFonts w:ascii="Arial" w:hAnsi="Arial"/>
          <w:sz w:val="24"/>
          <w:szCs w:val="24"/>
        </w:rPr>
      </w:pPr>
      <w:r>
        <w:rPr>
          <w:rFonts w:ascii="Arial" w:hAnsi="Arial"/>
          <w:sz w:val="24"/>
          <w:szCs w:val="24"/>
        </w:rPr>
      </w:r>
    </w:p>
    <w:p>
      <w:pPr>
        <w:pStyle w:val="Normal"/>
        <w:spacing w:lineRule="auto" w:line="360"/>
        <w:rPr>
          <w:rFonts w:ascii="Arial" w:hAnsi="Arial" w:eastAsia="TheSansOffice" w:cs="TheSansOffice"/>
          <w:sz w:val="24"/>
          <w:szCs w:val="24"/>
        </w:rPr>
      </w:pPr>
      <w:r>
        <w:rPr>
          <w:rFonts w:eastAsia="TheSansOffice" w:cs="TheSansOffice" w:ascii="Arial" w:hAnsi="Arial"/>
          <w:sz w:val="24"/>
          <w:szCs w:val="24"/>
        </w:rPr>
        <w:t>Sehr geehrte Damen und Herren,</w:t>
      </w:r>
    </w:p>
    <w:p>
      <w:pPr>
        <w:pStyle w:val="Normal"/>
        <w:spacing w:lineRule="auto" w:line="360"/>
        <w:rPr>
          <w:rFonts w:ascii="Arial" w:hAnsi="Arial" w:eastAsia="TheSansOffice" w:cs="TheSansOffice"/>
          <w:sz w:val="24"/>
          <w:szCs w:val="24"/>
        </w:rPr>
      </w:pPr>
      <w:r>
        <w:rPr>
          <w:rFonts w:eastAsia="TheSansOffice" w:cs="TheSansOffice" w:ascii="Arial" w:hAnsi="Arial"/>
          <w:sz w:val="24"/>
          <w:szCs w:val="24"/>
        </w:rPr>
        <w:t>das Bundesverfassungsgericht entschied mit Beschluss vom 4. Mai 2020 -Az. 2 BvL 6-8/17-, dass der in NRW gewährte Familienzuschlag für dritte und weitere Kinder verfassungswidrig zu niedrig bemessen war.</w:t>
      </w:r>
    </w:p>
    <w:p>
      <w:pPr>
        <w:pStyle w:val="Normal"/>
        <w:spacing w:lineRule="auto" w:line="360"/>
        <w:rPr>
          <w:rFonts w:ascii="Arial" w:hAnsi="Arial" w:eastAsia="TheSansOffice" w:cs="TheSansOffice"/>
          <w:sz w:val="24"/>
          <w:szCs w:val="24"/>
        </w:rPr>
      </w:pPr>
      <w:r>
        <w:rPr>
          <w:rFonts w:eastAsia="TheSansOffice" w:cs="TheSansOffice" w:ascii="Arial" w:hAnsi="Arial"/>
          <w:sz w:val="24"/>
          <w:szCs w:val="24"/>
        </w:rPr>
        <w:t xml:space="preserve">Im Hinblick auf dieses Verfahren </w:t>
      </w:r>
      <w:r>
        <w:rPr>
          <w:rFonts w:eastAsia="TheSansOffice" w:cs="TheSansOffice" w:ascii="Arial" w:hAnsi="Arial"/>
          <w:b/>
          <w:bCs/>
          <w:sz w:val="24"/>
          <w:szCs w:val="24"/>
        </w:rPr>
        <w:t xml:space="preserve">sowie auf ein bereits beim Verwaltungsgericht Osnabrück unter dem Aktenzeichen 3 A 145/18 parallel </w:t>
      </w:r>
      <w:r>
        <w:rPr>
          <w:rFonts w:eastAsia="TheSansOffice" w:cs="TheSansOffice" w:ascii="Arial" w:hAnsi="Arial"/>
          <w:b/>
          <w:bCs/>
          <w:sz w:val="24"/>
          <w:szCs w:val="24"/>
          <w:u w:val="single"/>
        </w:rPr>
        <w:t>für Niedersachsen anhängiges Musterverfahren</w:t>
      </w:r>
      <w:r>
        <w:rPr>
          <w:rFonts w:eastAsia="TheSansOffice" w:cs="TheSansOffice" w:ascii="Arial" w:hAnsi="Arial"/>
          <w:sz w:val="24"/>
          <w:szCs w:val="24"/>
        </w:rPr>
        <w:t xml:space="preserve"> lege ich gegen die mir für mein drittes (und ggf. weitere) Kind(er) gewährte Alimentation für das Jahr 2026</w:t>
      </w:r>
    </w:p>
    <w:p>
      <w:pPr>
        <w:pStyle w:val="Normal"/>
        <w:spacing w:lineRule="auto" w:line="360"/>
        <w:jc w:val="center"/>
        <w:rPr>
          <w:rFonts w:ascii="Arial" w:hAnsi="Arial" w:eastAsia="TheSansOffice-Bold" w:cs="TheSansOffice-Bold"/>
          <w:b/>
          <w:b/>
          <w:bCs/>
          <w:sz w:val="24"/>
          <w:szCs w:val="24"/>
        </w:rPr>
      </w:pPr>
      <w:r>
        <w:rPr>
          <w:rFonts w:eastAsia="TheSansOffice-Bold" w:cs="TheSansOffice-Bold" w:ascii="Arial" w:hAnsi="Arial"/>
          <w:b/>
          <w:bCs/>
          <w:sz w:val="24"/>
          <w:szCs w:val="24"/>
        </w:rPr>
        <w:t>Widerspruch</w:t>
      </w:r>
    </w:p>
    <w:p>
      <w:pPr>
        <w:pStyle w:val="Normal"/>
        <w:spacing w:lineRule="auto" w:line="360"/>
        <w:rPr>
          <w:rFonts w:ascii="Arial" w:hAnsi="Arial" w:eastAsia="TheSansOffice" w:cs="TheSansOffice"/>
          <w:sz w:val="24"/>
          <w:szCs w:val="24"/>
        </w:rPr>
      </w:pPr>
      <w:r>
        <w:rPr>
          <w:rFonts w:eastAsia="TheSansOffice" w:cs="TheSansOffice" w:ascii="Arial" w:hAnsi="Arial"/>
          <w:sz w:val="24"/>
          <w:szCs w:val="24"/>
        </w:rPr>
        <w:t>ein, da ich davon ausgehe, dass sie insoweit nicht ausreichend ist.</w:t>
      </w:r>
    </w:p>
    <w:p>
      <w:pPr>
        <w:pStyle w:val="Normal"/>
        <w:spacing w:lineRule="auto" w:line="360"/>
        <w:jc w:val="both"/>
        <w:rPr/>
      </w:pPr>
      <w:r>
        <w:rPr>
          <w:rFonts w:eastAsia="TheSansOffice" w:cs="TheSansOffice" w:ascii="Arial" w:hAnsi="Arial"/>
          <w:sz w:val="24"/>
          <w:szCs w:val="24"/>
        </w:rPr>
        <w:t xml:space="preserve">Zugleich beantrage ich </w:t>
      </w:r>
      <w:r>
        <w:rPr>
          <w:rFonts w:eastAsia="TheSansOffice-Bold" w:cs="TheSansOffice-Bold" w:ascii="Arial" w:hAnsi="Arial"/>
          <w:sz w:val="24"/>
          <w:szCs w:val="24"/>
        </w:rPr>
        <w:t>die Gewährung einer amtsangemessenen Alimentation für diese(s) Kind(er), die den in dem o.g. Beschluss des Bundesverfassungsgerichts festgelegten Grundsätzen entspricht.</w:t>
      </w:r>
    </w:p>
    <w:p>
      <w:pPr>
        <w:pStyle w:val="Normal"/>
        <w:spacing w:lineRule="auto" w:line="360"/>
        <w:jc w:val="both"/>
        <w:rPr>
          <w:rFonts w:ascii="Arial" w:hAnsi="Arial" w:eastAsia="TheSansOffice-Bold" w:cs="TheSansOffice-Bold"/>
          <w:sz w:val="24"/>
          <w:szCs w:val="24"/>
        </w:rPr>
      </w:pPr>
      <w:r>
        <w:rPr>
          <w:rFonts w:eastAsia="TheSansOffice-Bold" w:cs="TheSansOffice-Bold" w:ascii="Arial" w:hAnsi="Arial"/>
          <w:sz w:val="24"/>
          <w:szCs w:val="24"/>
        </w:rPr>
        <w:t xml:space="preserve">Ob das Kernelement der gesetzlichen Neuregelung vom 23.09.2022, der sog. Familienergänzungszuschlag gem. § 36a NBesG, den spezifischen verfassungsrechtlichen Vorgaben lt. o.g. Rechtsprechung genügt, ist derzeit völlig unklar, zumal die vergleichbare </w:t>
      </w:r>
    </w:p>
    <w:p>
      <w:pPr>
        <w:pStyle w:val="Normal"/>
        <w:spacing w:lineRule="auto" w:line="360"/>
        <w:jc w:val="both"/>
        <w:rPr>
          <w:rFonts w:ascii="Arial" w:hAnsi="Arial" w:eastAsia="TheSansOffice-Bold" w:cs="TheSansOffice-Bold"/>
          <w:sz w:val="24"/>
          <w:szCs w:val="24"/>
        </w:rPr>
      </w:pPr>
      <w:r>
        <w:rPr>
          <w:rFonts w:eastAsia="TheSansOffice-Bold" w:cs="TheSansOffice-Bold" w:ascii="Arial" w:hAnsi="Arial"/>
          <w:sz w:val="24"/>
          <w:szCs w:val="24"/>
        </w:rPr>
      </w:r>
    </w:p>
    <w:p>
      <w:pPr>
        <w:pStyle w:val="Normal"/>
        <w:spacing w:lineRule="auto" w:line="360"/>
        <w:jc w:val="both"/>
        <w:rPr>
          <w:rFonts w:ascii="Arial" w:hAnsi="Arial" w:eastAsia="TheSansOffice-Bold" w:cs="TheSansOffice-Bold"/>
          <w:sz w:val="24"/>
          <w:szCs w:val="24"/>
        </w:rPr>
      </w:pPr>
      <w:r>
        <w:rPr>
          <w:rFonts w:eastAsia="TheSansOffice-Bold" w:cs="TheSansOffice-Bold" w:ascii="Arial" w:hAnsi="Arial"/>
          <w:sz w:val="24"/>
          <w:szCs w:val="24"/>
        </w:rPr>
        <w:t>Regelung im schleswig-holsteinischen Besoldungsrecht im Übrigen bereits Gegenstand eines dortigen Normenkontrollverfahrens beim BVerfG (Az. 2 BvL 13/18) ist.</w:t>
      </w:r>
    </w:p>
    <w:p>
      <w:pPr>
        <w:pStyle w:val="Normal"/>
        <w:spacing w:lineRule="auto" w:line="360"/>
        <w:jc w:val="both"/>
        <w:rPr>
          <w:rFonts w:ascii="Arial" w:hAnsi="Arial" w:eastAsia="TheSansOffice-Bold" w:cs="TheSansOffice-Bold"/>
          <w:sz w:val="24"/>
          <w:szCs w:val="24"/>
        </w:rPr>
      </w:pPr>
      <w:r>
        <w:rPr>
          <w:rFonts w:eastAsia="TheSansOffice-Bold" w:cs="TheSansOffice-Bold" w:ascii="Arial" w:hAnsi="Arial"/>
          <w:sz w:val="24"/>
          <w:szCs w:val="24"/>
        </w:rPr>
        <w:t>Aktuell lag in Niedersachsen der Entwurf eines Gesetzes über die Anpassung der Besoldung und der Versorgungsbezüge in den Jahren 2025 bis 2028 sowie zur Änderung besoldungs- und versorgungsrechtlicher Vorschriften zur Verbandsbeteiligung vor. Die Verbandsbeteiligung ist seit Anfang Oktober abgeschlossen. Der Entwurf muss nun die weiteren Schritte des Gesetzgebungsverfahrens durchlaufen.</w:t>
      </w:r>
    </w:p>
    <w:p>
      <w:pPr>
        <w:pStyle w:val="Normal"/>
        <w:spacing w:lineRule="auto" w:line="360"/>
        <w:jc w:val="both"/>
        <w:rPr>
          <w:rFonts w:ascii="Arial" w:hAnsi="Arial" w:eastAsia="TheSansOffice-Bold" w:cs="TheSansOffice-Bold"/>
          <w:sz w:val="24"/>
          <w:szCs w:val="24"/>
        </w:rPr>
      </w:pPr>
      <w:r>
        <w:rPr>
          <w:rFonts w:eastAsia="TheSansOffice-Bold" w:cs="TheSansOffice-Bold" w:ascii="Arial" w:hAnsi="Arial"/>
          <w:sz w:val="24"/>
          <w:szCs w:val="24"/>
        </w:rPr>
        <w:t>Unabhängig vom weiteren Gesetzgebungsverfahren halte ich die im Entwurf vorgesehenen Änderungen für nicht ausreichend, um eine amtsangemessene Alimentation sicherzustellen. Erhebliche verfassungsrechtliche Bedenken bestehen insbesondere gegen die Ausgestaltung des Familienergänzungszuschlags und dessen zunehmende Abhängigkeit vom Einkommen sowie den Erwerbsmöglichkeiten des Ehe- oder Lebenspartners. Zugleich bleibt die allgemeine strukturelle Stärkung der Grundgehaltstabellen begrenzt. Sonderzahlungen und familienbezogene Ergänzungsleistungen können eine dauerhaft angemessene Grundbesoldung nicht ersetzen.</w:t>
      </w:r>
    </w:p>
    <w:p>
      <w:pPr>
        <w:pStyle w:val="Normal"/>
        <w:spacing w:lineRule="auto" w:line="360"/>
        <w:jc w:val="both"/>
        <w:rPr>
          <w:rFonts w:ascii="Arial" w:hAnsi="Arial" w:eastAsia="TheSansOffice" w:cs="TheSansOffice"/>
          <w:sz w:val="24"/>
          <w:szCs w:val="24"/>
        </w:rPr>
      </w:pPr>
      <w:r>
        <w:rPr>
          <w:rFonts w:eastAsia="TheSansOffice" w:cs="TheSansOffice" w:ascii="Arial" w:hAnsi="Arial"/>
          <w:sz w:val="24"/>
          <w:szCs w:val="24"/>
        </w:rPr>
        <w:t>Gleichzeitig bitte ich darum, meinen Antrag bis zu der für Niedersachsen endgültigen Entscheidung in dem o.g. Musterverfahren ruhen zu lassen und auf die Einrede der Verjährung zu verzichten sowie um Ihre entsprechende Bescheidung auch dahin gehend, dass Sie diesen Widerspruch zugleich für die folgenden Kalenderjahre gelten lassen.</w:t>
      </w:r>
    </w:p>
    <w:p>
      <w:pPr>
        <w:pStyle w:val="Normal"/>
        <w:spacing w:lineRule="auto" w:line="360"/>
        <w:rPr>
          <w:rFonts w:ascii="Arial" w:hAnsi="Arial" w:eastAsia="TheSansOffice" w:cs="TheSansOffice"/>
          <w:sz w:val="24"/>
          <w:szCs w:val="24"/>
        </w:rPr>
      </w:pPr>
      <w:r>
        <w:rPr>
          <w:rFonts w:eastAsia="TheSansOffice" w:cs="TheSansOffice" w:ascii="Arial" w:hAnsi="Arial"/>
          <w:sz w:val="24"/>
          <w:szCs w:val="24"/>
        </w:rPr>
      </w:r>
    </w:p>
    <w:p>
      <w:pPr>
        <w:pStyle w:val="Normal"/>
        <w:spacing w:lineRule="auto" w:line="360"/>
        <w:rPr>
          <w:rFonts w:ascii="Arial" w:hAnsi="Arial" w:eastAsia="TheSansOffice" w:cs="TheSansOffice"/>
          <w:sz w:val="24"/>
          <w:szCs w:val="24"/>
        </w:rPr>
      </w:pPr>
      <w:r>
        <w:rPr>
          <w:rFonts w:eastAsia="TheSansOffice" w:cs="TheSansOffice" w:ascii="Arial" w:hAnsi="Arial"/>
          <w:sz w:val="24"/>
          <w:szCs w:val="24"/>
        </w:rPr>
        <w:t>Mit freundlichen Grüßen</w:t>
      </w:r>
    </w:p>
    <w:p>
      <w:pPr>
        <w:pStyle w:val="Normal"/>
        <w:spacing w:lineRule="auto" w:line="360"/>
        <w:rPr>
          <w:rFonts w:ascii="Arial" w:hAnsi="Arial" w:eastAsia="TheSansOffice" w:cs="TheSansOffice"/>
          <w:sz w:val="24"/>
          <w:szCs w:val="24"/>
        </w:rPr>
      </w:pPr>
      <w:r>
        <w:rPr>
          <w:rFonts w:eastAsia="TheSansOffice" w:cs="TheSansOffice" w:ascii="Arial" w:hAnsi="Arial"/>
          <w:sz w:val="24"/>
          <w:szCs w:val="24"/>
        </w:rPr>
      </w:r>
    </w:p>
    <w:p>
      <w:pPr>
        <w:pStyle w:val="Normal"/>
        <w:spacing w:lineRule="auto" w:line="360"/>
        <w:rPr>
          <w:rFonts w:ascii="Arial" w:hAnsi="Arial" w:eastAsia="TheSansOffice" w:cs="TheSansOffice"/>
          <w:sz w:val="24"/>
          <w:szCs w:val="24"/>
        </w:rPr>
      </w:pPr>
      <w:r>
        <w:rPr>
          <w:rFonts w:eastAsia="TheSansOffice" w:cs="TheSansOffice" w:ascii="Arial" w:hAnsi="Arial"/>
          <w:sz w:val="24"/>
          <w:szCs w:val="24"/>
        </w:rPr>
      </w:r>
    </w:p>
    <w:p>
      <w:pPr>
        <w:pStyle w:val="Normal"/>
        <w:spacing w:lineRule="auto" w:line="360" w:before="0" w:after="200"/>
        <w:rPr/>
      </w:pPr>
      <w:r>
        <w:rPr>
          <w:rFonts w:eastAsia="TheSansOffice" w:cs="TheSansOffice" w:ascii="Arial" w:hAnsi="Arial"/>
          <w:sz w:val="24"/>
          <w:szCs w:val="24"/>
        </w:rPr>
        <w:t>…</w:t>
      </w:r>
      <w:r>
        <w:rPr>
          <w:rFonts w:eastAsia="TheSansOffice" w:cs="TheSansOffice" w:ascii="Arial" w:hAnsi="Arial"/>
          <w:sz w:val="24"/>
          <w:szCs w:val="24"/>
        </w:rPr>
        <w:t>...................................</w:t>
      </w:r>
    </w:p>
    <w:sectPr>
      <w:type w:val="nextPage"/>
      <w:pgSz w:w="11906" w:h="16838"/>
      <w:pgMar w:left="1077" w:right="851" w:header="0" w:top="709" w:footer="0" w:bottom="709"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124"/>
  <w:defaultTabStop w:val="708"/>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de-DE"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DE" w:eastAsia="en-US" w:bidi="ar-SA"/>
    </w:rPr>
  </w:style>
  <w:style w:type="character" w:styleId="DefaultParagraphFont" w:default="1">
    <w:name w:val="Default Paragraph Font"/>
    <w:uiPriority w:val="1"/>
    <w:semiHidden/>
    <w:unhideWhenUsed/>
    <w:qFormat/>
    <w:rPr/>
  </w:style>
  <w:style w:type="character" w:styleId="SprechblasentextZchn" w:customStyle="1">
    <w:name w:val="Sprechblasentext Zchn"/>
    <w:basedOn w:val="DefaultParagraphFont"/>
    <w:link w:val="Sprechblasentext"/>
    <w:uiPriority w:val="99"/>
    <w:semiHidden/>
    <w:qFormat/>
    <w:rsid w:val="009b6731"/>
    <w:rPr>
      <w:rFonts w:ascii="Tahoma" w:hAnsi="Tahoma" w:cs="Tahoma"/>
      <w:sz w:val="16"/>
      <w:szCs w:val="16"/>
    </w:rPr>
  </w:style>
  <w:style w:type="character" w:styleId="KopfzeileZchn" w:customStyle="1">
    <w:name w:val="Kopfzeile Zchn"/>
    <w:basedOn w:val="DefaultParagraphFont"/>
    <w:link w:val="Kopfzeile"/>
    <w:uiPriority w:val="99"/>
    <w:qFormat/>
    <w:rsid w:val="000e0e5c"/>
    <w:rPr/>
  </w:style>
  <w:style w:type="character" w:styleId="FuzeileZchn" w:customStyle="1">
    <w:name w:val="Fußzeile Zchn"/>
    <w:basedOn w:val="DefaultParagraphFont"/>
    <w:link w:val="Fuzeile"/>
    <w:uiPriority w:val="99"/>
    <w:qFormat/>
    <w:rsid w:val="000e0e5c"/>
    <w:rPr/>
  </w:style>
  <w:style w:type="character" w:styleId="Internetverknpfung" w:customStyle="1">
    <w:name w:val="Internetverknüpfung"/>
    <w:basedOn w:val="DefaultParagraphFont"/>
    <w:uiPriority w:val="99"/>
    <w:unhideWhenUsed/>
    <w:rsid w:val="00c751bf"/>
    <w:rPr>
      <w:color w:val="0000FF" w:themeColor="hyperlink"/>
      <w:u w:val="single"/>
    </w:rPr>
  </w:style>
  <w:style w:type="character" w:styleId="UnresolvedMention">
    <w:name w:val="Unresolved Mention"/>
    <w:basedOn w:val="DefaultParagraphFont"/>
    <w:uiPriority w:val="99"/>
    <w:semiHidden/>
    <w:unhideWhenUsed/>
    <w:qFormat/>
    <w:rsid w:val="00f50495"/>
    <w:rPr>
      <w:color w:val="605E5C"/>
      <w:shd w:fill="E1DFDD" w:val="clear"/>
    </w:rPr>
  </w:style>
  <w:style w:type="character" w:styleId="Strong">
    <w:name w:val="Strong"/>
    <w:basedOn w:val="DefaultParagraphFont"/>
    <w:uiPriority w:val="22"/>
    <w:qFormat/>
    <w:rsid w:val="00cd40fa"/>
    <w:rPr>
      <w:b/>
      <w:bCs/>
    </w:rPr>
  </w:style>
  <w:style w:type="character" w:styleId="TextkrperZchn" w:customStyle="1">
    <w:name w:val="Textkörper Zchn"/>
    <w:basedOn w:val="DefaultParagraphFont"/>
    <w:link w:val="Textkrper"/>
    <w:qFormat/>
    <w:rsid w:val="001230d3"/>
    <w:rPr>
      <w:sz w:val="22"/>
    </w:rPr>
  </w:style>
  <w:style w:type="paragraph" w:styleId="Berschrift" w:customStyle="1">
    <w:name w:val="Überschrift"/>
    <w:basedOn w:val="Normal"/>
    <w:next w:val="Textkrper"/>
    <w:qFormat/>
    <w:pPr>
      <w:keepNext w:val="true"/>
      <w:spacing w:before="240" w:after="120"/>
    </w:pPr>
    <w:rPr>
      <w:rFonts w:ascii="Times New Roman" w:hAnsi="Times New Roman" w:eastAsia="Microsoft YaHei" w:cs="Arial"/>
      <w:sz w:val="28"/>
      <w:szCs w:val="28"/>
    </w:rPr>
  </w:style>
  <w:style w:type="paragraph" w:styleId="Textkrper">
    <w:name w:val="Body Text"/>
    <w:basedOn w:val="Normal"/>
    <w:link w:val="TextkrperZchn"/>
    <w:pPr>
      <w:spacing w:before="0" w:after="140"/>
    </w:pPr>
    <w:rPr/>
  </w:style>
  <w:style w:type="paragraph" w:styleId="Liste">
    <w:name w:val="List"/>
    <w:basedOn w:val="Textkrper"/>
    <w:pPr/>
    <w:rPr>
      <w:rFonts w:ascii="Times New Roman" w:hAnsi="Times New Roman" w:cs="Arial"/>
    </w:rPr>
  </w:style>
  <w:style w:type="paragraph" w:styleId="Beschriftung">
    <w:name w:val="Caption"/>
    <w:basedOn w:val="Normal"/>
    <w:qFormat/>
    <w:pPr>
      <w:suppressLineNumbers/>
      <w:spacing w:before="120" w:after="120"/>
    </w:pPr>
    <w:rPr>
      <w:rFonts w:cs="Lucida Sans"/>
      <w:i/>
      <w:iCs/>
      <w:sz w:val="24"/>
      <w:szCs w:val="24"/>
    </w:rPr>
  </w:style>
  <w:style w:type="paragraph" w:styleId="Verzeichnis" w:customStyle="1">
    <w:name w:val="Verzeichnis"/>
    <w:basedOn w:val="Normal"/>
    <w:qFormat/>
    <w:pPr>
      <w:suppressLineNumbers/>
    </w:pPr>
    <w:rPr>
      <w:rFonts w:ascii="Times New Roman" w:hAnsi="Times New Roman" w:cs="Arial"/>
    </w:rPr>
  </w:style>
  <w:style w:type="paragraph" w:styleId="Caption">
    <w:name w:val="caption"/>
    <w:basedOn w:val="Normal"/>
    <w:qFormat/>
    <w:pPr>
      <w:suppressLineNumbers/>
      <w:spacing w:before="120" w:after="120"/>
    </w:pPr>
    <w:rPr>
      <w:rFonts w:ascii="Times New Roman" w:hAnsi="Times New Roman" w:cs="Arial"/>
      <w:i/>
      <w:iCs/>
      <w:sz w:val="24"/>
      <w:szCs w:val="24"/>
    </w:rPr>
  </w:style>
  <w:style w:type="paragraph" w:styleId="BalloonText">
    <w:name w:val="Balloon Text"/>
    <w:basedOn w:val="Normal"/>
    <w:link w:val="SprechblasentextZchn"/>
    <w:uiPriority w:val="99"/>
    <w:semiHidden/>
    <w:unhideWhenUsed/>
    <w:qFormat/>
    <w:rsid w:val="009b6731"/>
    <w:pPr>
      <w:spacing w:lineRule="auto" w:line="240" w:before="0" w:after="0"/>
    </w:pPr>
    <w:rPr>
      <w:rFonts w:ascii="Tahoma" w:hAnsi="Tahoma" w:cs="Tahoma"/>
      <w:sz w:val="16"/>
      <w:szCs w:val="16"/>
    </w:rPr>
  </w:style>
  <w:style w:type="paragraph" w:styleId="NoSpacing">
    <w:name w:val="No Spacing"/>
    <w:uiPriority w:val="1"/>
    <w:qFormat/>
    <w:rsid w:val="009b6731"/>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de-DE" w:eastAsia="en-US" w:bidi="ar-SA"/>
    </w:rPr>
  </w:style>
  <w:style w:type="paragraph" w:styleId="KopfundFuzeile" w:customStyle="1">
    <w:name w:val="Kopf- und Fußzeile"/>
    <w:basedOn w:val="Normal"/>
    <w:qFormat/>
    <w:pPr/>
    <w:rPr/>
  </w:style>
  <w:style w:type="paragraph" w:styleId="Kopfzeile">
    <w:name w:val="Header"/>
    <w:basedOn w:val="Normal"/>
    <w:link w:val="KopfzeileZchn"/>
    <w:uiPriority w:val="99"/>
    <w:unhideWhenUsed/>
    <w:rsid w:val="000e0e5c"/>
    <w:pPr>
      <w:tabs>
        <w:tab w:val="clear" w:pos="708"/>
        <w:tab w:val="center" w:pos="4536" w:leader="none"/>
        <w:tab w:val="right" w:pos="9072" w:leader="none"/>
      </w:tabs>
      <w:spacing w:lineRule="auto" w:line="240" w:before="0" w:after="0"/>
    </w:pPr>
    <w:rPr/>
  </w:style>
  <w:style w:type="paragraph" w:styleId="Fuzeile">
    <w:name w:val="Footer"/>
    <w:basedOn w:val="Normal"/>
    <w:link w:val="FuzeileZchn"/>
    <w:uiPriority w:val="99"/>
    <w:unhideWhenUsed/>
    <w:rsid w:val="000e0e5c"/>
    <w:pPr>
      <w:tabs>
        <w:tab w:val="clear" w:pos="708"/>
        <w:tab w:val="center" w:pos="4536" w:leader="none"/>
        <w:tab w:val="right" w:pos="9072" w:leader="none"/>
      </w:tabs>
      <w:spacing w:lineRule="auto" w:line="240" w:before="0" w:after="0"/>
    </w:pPr>
    <w:rPr/>
  </w:style>
  <w:style w:type="paragraph" w:styleId="2909F619802848F09E01365C32F34654" w:customStyle="1">
    <w:name w:val="2909F619802848F09E01365C32F34654"/>
    <w:qFormat/>
    <w:rsid w:val="00ba7a7f"/>
    <w:pPr>
      <w:widowControl/>
      <w:suppressAutoHyphens w:val="true"/>
      <w:bidi w:val="0"/>
      <w:spacing w:lineRule="auto" w:line="276" w:before="0" w:after="200"/>
      <w:jc w:val="left"/>
    </w:pPr>
    <w:rPr>
      <w:rFonts w:ascii="Calibri" w:hAnsi="Calibri" w:eastAsia="" w:eastAsiaTheme="minorEastAsia" w:cs=""/>
      <w:color w:val="auto"/>
      <w:kern w:val="0"/>
      <w:sz w:val="22"/>
      <w:szCs w:val="22"/>
      <w:lang w:eastAsia="de-DE" w:val="de-DE" w:bidi="ar-SA"/>
    </w:rPr>
  </w:style>
  <w:style w:type="paragraph" w:styleId="NormalWeb">
    <w:name w:val="Normal (Web)"/>
    <w:basedOn w:val="Normal"/>
    <w:uiPriority w:val="99"/>
    <w:semiHidden/>
    <w:unhideWhenUsed/>
    <w:qFormat/>
    <w:rsid w:val="00cd40fa"/>
    <w:pPr>
      <w:spacing w:lineRule="auto" w:line="240" w:beforeAutospacing="1" w:afterAutospacing="1"/>
    </w:pPr>
    <w:rPr>
      <w:rFonts w:ascii="Times New Roman" w:hAnsi="Times New Roman" w:eastAsia="Times New Roman" w:cs="Times New Roman"/>
      <w:sz w:val="24"/>
      <w:szCs w:val="24"/>
      <w:lang w:eastAsia="de-DE"/>
    </w:rPr>
  </w:style>
  <w:style w:type="paragraph" w:styleId="Rahmeninhalt" w:customStyle="1">
    <w:name w:val="Rahmeninhalt"/>
    <w:basedOn w:val="Normal"/>
    <w:qFormat/>
    <w:pPr/>
    <w:rPr/>
  </w:style>
  <w:style w:type="numbering" w:styleId="NoList" w:default="1">
    <w:name w:val="No List"/>
    <w:uiPriority w:val="99"/>
    <w:semiHidden/>
    <w:unhideWhenUsed/>
    <w:qFormat/>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E6AA1-1A4E-470E-AA8A-FE277EEB6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ages>2</Pages>
  <Words>433</Words>
  <Characters>2731</Characters>
  <CharactersWithSpaces>3158</CharactersWithSpaces>
  <Paragraphs>6</Paragraphs>
  <Company>Oberfinanzdirektion Niedersachsen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2026-10-16T14:05:00Z</dcterms:created>
  <dc:creator>Balster, Thorsten</dc:creator>
  <dc:description/>
  <dc:language>de-DE</dc:language>
  <cp:lastModifiedBy>Goronczy</cp:lastModifiedBy>
  <cp:lastPrinted>2025-10-16T12:11:00Z</cp:lastPrinted>
  <dcterms:modified xsi:type="dcterms:W3CDTF">2026-10-19T09:02:00Z</dcterms:modified>
  <cp:revision>5</cp:revision>
  <dc:subject/>
  <dc:title>Pressemitteilung vom 16.10.2025 -Einführung von Registrierkassenpflicht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Oberfinanzdirektion Niedersachsen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